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34E3" w14:textId="77777777" w:rsidR="00990E67" w:rsidRDefault="00990E67" w:rsidP="00990E67">
      <w:pPr>
        <w:pStyle w:val="Nagwek1"/>
        <w:ind w:left="4956" w:firstLine="708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Załącznik nr 2</w:t>
      </w:r>
    </w:p>
    <w:p w14:paraId="5C34CB25" w14:textId="77777777" w:rsidR="00990E67" w:rsidRDefault="00990E67" w:rsidP="00990E67">
      <w:pPr>
        <w:pStyle w:val="Nagwek1"/>
        <w:ind w:left="4956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terminarz obiegu  </w:t>
      </w:r>
    </w:p>
    <w:p w14:paraId="70622CBF" w14:textId="77777777" w:rsidR="00990E67" w:rsidRDefault="00990E67" w:rsidP="00990E67">
      <w:pPr>
        <w:pStyle w:val="Nagwek1"/>
        <w:ind w:left="4956"/>
        <w:jc w:val="center"/>
        <w:rPr>
          <w:sz w:val="24"/>
        </w:rPr>
      </w:pP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dokumentów księgowych</w:t>
      </w:r>
    </w:p>
    <w:p w14:paraId="015B8138" w14:textId="77777777" w:rsidR="00990E67" w:rsidRDefault="00990E67" w:rsidP="00990E67">
      <w:pPr>
        <w:rPr>
          <w:sz w:val="24"/>
          <w:u w:val="single"/>
          <w:lang w:val="pl-PL"/>
        </w:rPr>
      </w:pPr>
    </w:p>
    <w:p w14:paraId="2E78EF20" w14:textId="77777777" w:rsidR="00990E67" w:rsidRDefault="00990E67" w:rsidP="00990E67">
      <w:pPr>
        <w:pStyle w:val="Nagwek2"/>
        <w:rPr>
          <w:sz w:val="24"/>
        </w:rPr>
      </w:pPr>
      <w:r>
        <w:rPr>
          <w:sz w:val="24"/>
        </w:rPr>
        <w:t>Zagadnienia ogólne dotyczące obiegu dokumentów księgowych spływających z jednostki do PZEA</w:t>
      </w:r>
    </w:p>
    <w:p w14:paraId="707A77CA" w14:textId="77777777" w:rsidR="00990E67" w:rsidRDefault="00990E67" w:rsidP="00990E67">
      <w:pPr>
        <w:rPr>
          <w:sz w:val="24"/>
          <w:lang w:val="pl-PL"/>
        </w:rPr>
      </w:pPr>
    </w:p>
    <w:p w14:paraId="25526B92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Dowody księgowe z jednostki przyjmuje pracownik kancelarii PZEA i przekazuje je do działu finansowo-księgowego, gdzie upoważniony do tego pracownik rejestruje je w dzienniku korespondencji dowodów księgowych i przekazuje je głównej księgowej PZEA do rozdysponowania dla poszczególnych pracowników księgowości. </w:t>
      </w:r>
    </w:p>
    <w:p w14:paraId="65F5808D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Przyjęte dowody księgowe z jednostki zostają poddane wstępnej kontroli przez głównego księgowego lub osoby upoważnione, kontroli podlegają następujące zagadnienia:</w:t>
      </w:r>
    </w:p>
    <w:p w14:paraId="16518A20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a/ czy dowód księgowy sprawdzono pod względem merytorycznym i formalnym: na każdym dowodzie powinna być uwidocznione że dowód księgowy został sprawdzony pod względem merytorycznym i formalnym z datą i podpisem kierownika jednostki lub upoważnionego przez niego pracownika,</w:t>
      </w:r>
    </w:p>
    <w:p w14:paraId="512CAC7D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b/ czy wpisano klauzulę, że zakupu dokonano na podstawie właściwego trybu ustawy </w:t>
      </w:r>
      <w:r>
        <w:rPr>
          <w:sz w:val="24"/>
          <w:lang w:val="pl-PL"/>
        </w:rPr>
        <w:br/>
        <w:t>o zamówieniach publicznych wraz z podpisem kierownika jednostki lub upoważnionych osób,</w:t>
      </w:r>
    </w:p>
    <w:p w14:paraId="39E22076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c/ czy opisano, na jakie potrzeby zakupiono dane materiały lub gdzie wykonano zleconą usługę,</w:t>
      </w:r>
    </w:p>
    <w:p w14:paraId="33041BAB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d/ czy podano numery ksiąg, w jakich zostały zarejestrowane zakupione środki trwałe, pozostałe środki trwałe, książki, programy komputerowe, licencje oraz numery kart magazynowych, czy wpisano do ksiąg zakupione materiały podlegające ewidencji ilościowo-wartościowej lub ilościowej, czy je prawidłowo oznakowano zgodnie z zapisem,</w:t>
      </w:r>
    </w:p>
    <w:p w14:paraId="3FA64FEE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e/ czy przystawiono pieczątkę danej jednostki,</w:t>
      </w:r>
    </w:p>
    <w:p w14:paraId="6A552B02" w14:textId="1095D14C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f czy są to oryginały dowodów księgowych - przyjmuje się tylko oryginały dowodów księgowych z wyjątkiem potwierdzonych kopii dotyczących polis ubezpieczeniowych (oryginały w jednostkach), zaginionych oryginałów (decyzja kierownika jednostki - zaparafowana kopia o dopuszczeniu do realizacji – klauzula „Kopia na prawach oryginału” i podpis kierownika jednostki),</w:t>
      </w:r>
    </w:p>
    <w:p w14:paraId="605FEBDA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g/ czy umieszczono prawidłową klasyfikację budżetową dotyczącą wydatków budżetowych ( czy jednostka kontroluje swój plan finansowy),</w:t>
      </w:r>
    </w:p>
    <w:p w14:paraId="5AE7FB43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h/ czy dołączono do dowodów księgowych niezbędne załączniki ( np. umowę z dostawcami lub wykonawcami, protokół odbioru robót, protokół odbioru np. mebli, zamówienia, OT, LT, WT itp.).</w:t>
      </w:r>
    </w:p>
    <w:p w14:paraId="109F16DB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Następnie dowody wracają do pracownika księgowości i</w:t>
      </w:r>
    </w:p>
    <w:p w14:paraId="423C770C" w14:textId="77777777" w:rsidR="00990E67" w:rsidRDefault="00990E67" w:rsidP="00990E67">
      <w:pPr>
        <w:ind w:left="360" w:firstLine="75"/>
        <w:jc w:val="both"/>
        <w:rPr>
          <w:sz w:val="24"/>
          <w:lang w:val="pl-PL"/>
        </w:rPr>
      </w:pPr>
      <w:r>
        <w:rPr>
          <w:sz w:val="24"/>
          <w:lang w:val="pl-PL"/>
        </w:rPr>
        <w:t>a/ pracownik księgowości sprawdza dowody księgowe pod względem rachunkowym: na każdym dowodzie powinna być uwidoczniona i podpisana klauzula "Sprawdzono pod względem rachunkowym dnia..........." wraz z podpisem.</w:t>
      </w:r>
    </w:p>
    <w:p w14:paraId="24AFD6A3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b./ pracownik księgowości sprawdza czy jest przystawiona pieczęć z zatwierdzeniem do wypłaty, czy jest prawidłowo wypisana i podpisana przez kierownika jednostki jako znak zatwierdzenia do wypłaty,</w:t>
      </w:r>
    </w:p>
    <w:p w14:paraId="08C9E570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t>c/ pracownik księgowości przekazuje ponownie dowody księgowe do głównej księgowej, która sprawdza czy dokonane operacje gospodarcze i finansowe są zgodne z planem finansowym danej jednostki ( sprawdzenie i zatwierdzenie przez głównego księgowego dokonuje się poprzez zapis, że dokonano kontroli wstępnej dowodu księgowego, który główna księgowa podpisuje),</w:t>
      </w:r>
    </w:p>
    <w:p w14:paraId="4473B255" w14:textId="77777777" w:rsidR="00990E67" w:rsidRDefault="00990E67" w:rsidP="00990E67">
      <w:pPr>
        <w:ind w:left="360"/>
        <w:jc w:val="both"/>
        <w:rPr>
          <w:sz w:val="24"/>
          <w:lang w:val="pl-PL"/>
        </w:rPr>
      </w:pPr>
      <w:r>
        <w:rPr>
          <w:sz w:val="24"/>
          <w:lang w:val="pl-PL"/>
        </w:rPr>
        <w:lastRenderedPageBreak/>
        <w:t>d/ główna księgowa podpisuje zatwierdzenie do wypłaty i przekazuje zatwierdzone dowody finansowe do przygotowania przelewu lub czeku.</w:t>
      </w:r>
    </w:p>
    <w:p w14:paraId="258D4D02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Karta wzorów podpisów kierownika i upoważnionych pracowników z jednostki jest na bieżąco aktualizowana przez jednostkę o ile zmieniają się kierownik jednostki lub upoważnione osoby.</w:t>
      </w:r>
    </w:p>
    <w:p w14:paraId="38D00F4F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Pracownik księgowości wypisuje czek imienny lub przygotowuje polecenie przelewu w systemie komputerowym „</w:t>
      </w:r>
      <w:proofErr w:type="spellStart"/>
      <w:r>
        <w:rPr>
          <w:sz w:val="24"/>
          <w:lang w:val="pl-PL"/>
        </w:rPr>
        <w:t>iPKO</w:t>
      </w:r>
      <w:proofErr w:type="spellEnd"/>
      <w:r>
        <w:rPr>
          <w:sz w:val="24"/>
          <w:lang w:val="pl-PL"/>
        </w:rPr>
        <w:t>" – prawidłowość sporządzenia przelewu sprawdza inny pracownik działu finansowo – księgowego, który stawia parafę na dowodzie księgowym, że sprawdził prawidłowość sporządzenia przelewu. Osoby podpisujące przelew po sprawdzeniu dowodów księgowych mogą je parafować na znak sprawdzenia prawidłowości danych zawartych w przelewie.</w:t>
      </w:r>
    </w:p>
    <w:p w14:paraId="20E80B6A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Polecenia przelewu w systemie komputerowym „</w:t>
      </w:r>
      <w:proofErr w:type="spellStart"/>
      <w:r>
        <w:rPr>
          <w:sz w:val="24"/>
          <w:lang w:val="pl-PL"/>
        </w:rPr>
        <w:t>iPKO</w:t>
      </w:r>
      <w:proofErr w:type="spellEnd"/>
      <w:r>
        <w:rPr>
          <w:sz w:val="24"/>
          <w:lang w:val="pl-PL"/>
        </w:rPr>
        <w:t xml:space="preserve">" zatwierdzają dyrektor PZEA  </w:t>
      </w:r>
      <w:r>
        <w:rPr>
          <w:sz w:val="24"/>
          <w:lang w:val="pl-PL"/>
        </w:rPr>
        <w:br/>
        <w:t>i    główny księgowy lub upoważnione osoby, które mają pełnomocnictwo od kierownika jednostki</w:t>
      </w:r>
    </w:p>
    <w:p w14:paraId="010AA074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Na dowodach stanowiących podstawę dokonania zapłaty należy po dokonaniu zapłaty wnieść klauzulę „Wypłacono czekiem, przelewem dnia................”. Klauzulę tę podpisuje pracownik, który przygotowuje polecenie przelewu lub wystawia czek imienny.</w:t>
      </w:r>
    </w:p>
    <w:p w14:paraId="0FBA256F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Po dokonaniu zapłaty pracownik przekazuje dowody księgowe pracownikowi, który jest odpowiedzialny za księgowanie.</w:t>
      </w:r>
    </w:p>
    <w:p w14:paraId="733ADC01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Przed zaksięgowaniem wszystkie dowody księgowe należy ponumerować, a następnie wykonać dekretację dowodów i zaksięgować je chronologicznie w księdze głównej - ( dopuszcza się stosowanie wydruku komputerowego potwierdzającego dokonanie dekretacji).</w:t>
      </w:r>
    </w:p>
    <w:p w14:paraId="3416FF0C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Po zaksięgowaniu należy dowody księgowe upiąć w segregatorach. Kolejne segregatory też muszą być kolejno ponumerowane i prawidłowo opisane.</w:t>
      </w:r>
    </w:p>
    <w:p w14:paraId="71434826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Dowody księgowe związane z wypłatą wynagrodzeń odbiera pracownik ds. płac.</w:t>
      </w:r>
    </w:p>
    <w:p w14:paraId="3D33BD03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Listy płac sporządza wyznaczony pracownik ds. płac. Sporządzający listy płac nie może dokonywać wypłat wynagrodzeń.</w:t>
      </w:r>
    </w:p>
    <w:p w14:paraId="04E6E274" w14:textId="7D31F8E4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Po sporządzeniu list płac pracownik ds. płac przekazuje je do sprawdzenia osobom do tego delegowanym, a następnie przekazuje je do zatwierdzenia do wypłaty kierownikowi jednostki i głównej księgowej lub osobom do tego upoważnionym.</w:t>
      </w:r>
    </w:p>
    <w:p w14:paraId="288A1EC2" w14:textId="7C11FA4B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Listy płac do wypłaty pracownik ds. płac przekazuje pracownikowi, który wystawia imienne czeki na wypłatę wynagrodzeń pracownikom, którzy nie posiadają kont osobistych, a dla pracowników posiadających konta bankowe przygotowuje polecenia przelewu. Sporządza wydruk przygotowanych przelewów i sprawdza je z listami płac, następnie kolejny pracownik księgowości sprawdza </w:t>
      </w:r>
      <w:r w:rsidR="00D37875">
        <w:rPr>
          <w:sz w:val="24"/>
          <w:lang w:val="pl-PL"/>
        </w:rPr>
        <w:t xml:space="preserve">wyrywkowo </w:t>
      </w:r>
      <w:r>
        <w:rPr>
          <w:sz w:val="24"/>
          <w:lang w:val="pl-PL"/>
        </w:rPr>
        <w:t>poprawność przygotowanych przelewów. Na wydrukach zbiorczych przelewów do wypłaty wynagrodzeń obie osoby stawiają parafy potwierdzające sprawdzenie prawidłowości przygotowanych przelewów, co do wysokości kwot na wynagrodzenia dla pracowników uzgodnione z listami płac.</w:t>
      </w:r>
    </w:p>
    <w:p w14:paraId="55CACF2B" w14:textId="77777777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Czeki imienne pracownik przekazuje do zatwierdzenia dyrektorowi PZEA i głównej księgowej lub osobom do tego upoważnionym. Następnie wydaje je uprawnionym pracownikom za pokwitowaniem w księdze druków ścisłego zarachowania.</w:t>
      </w:r>
    </w:p>
    <w:p w14:paraId="607A8487" w14:textId="58BC10A5" w:rsidR="00990E67" w:rsidRDefault="00990E67" w:rsidP="00990E67">
      <w:pPr>
        <w:numPr>
          <w:ilvl w:val="0"/>
          <w:numId w:val="1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Polecenia przelewu w systemie komputerowym „</w:t>
      </w:r>
      <w:proofErr w:type="spellStart"/>
      <w:r>
        <w:rPr>
          <w:sz w:val="24"/>
          <w:lang w:val="pl-PL"/>
        </w:rPr>
        <w:t>iPKO</w:t>
      </w:r>
      <w:proofErr w:type="spellEnd"/>
      <w:r>
        <w:rPr>
          <w:sz w:val="24"/>
          <w:lang w:val="pl-PL"/>
        </w:rPr>
        <w:t>" zatwierdzają do zapłaty dyrektor PZEA  i główna księgowa lub upoważnione osoby, które mają pełnomocnictwo od kierownika jednostki.</w:t>
      </w:r>
    </w:p>
    <w:p w14:paraId="7D03015B" w14:textId="77777777" w:rsidR="00335744" w:rsidRDefault="00335744"/>
    <w:sectPr w:rsidR="00335744" w:rsidSect="00F62B03">
      <w:headerReference w:type="even" r:id="rId7"/>
      <w:head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6CB7" w14:textId="77777777" w:rsidR="00000000" w:rsidRDefault="00B13621">
      <w:r>
        <w:separator/>
      </w:r>
    </w:p>
  </w:endnote>
  <w:endnote w:type="continuationSeparator" w:id="0">
    <w:p w14:paraId="672C14D7" w14:textId="77777777" w:rsidR="00000000" w:rsidRDefault="00B1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341E" w14:textId="77777777" w:rsidR="00000000" w:rsidRDefault="00B13621">
      <w:r>
        <w:separator/>
      </w:r>
    </w:p>
  </w:footnote>
  <w:footnote w:type="continuationSeparator" w:id="0">
    <w:p w14:paraId="4EF08F91" w14:textId="77777777" w:rsidR="00000000" w:rsidRDefault="00B1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1C10" w14:textId="77777777" w:rsidR="005D3BEC" w:rsidRDefault="00990E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B076AB" w14:textId="77777777" w:rsidR="005D3BEC" w:rsidRDefault="00B136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2BEC" w14:textId="77777777" w:rsidR="005D3BEC" w:rsidRDefault="00990E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630DBAA" w14:textId="77777777" w:rsidR="005D3BEC" w:rsidRDefault="00B13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305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67"/>
    <w:rsid w:val="00335744"/>
    <w:rsid w:val="00990E67"/>
    <w:rsid w:val="00B13621"/>
    <w:rsid w:val="00D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9AD1"/>
  <w15:chartTrackingRefBased/>
  <w15:docId w15:val="{7A1169FB-BE1A-47CC-8DE7-A34E193B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990E67"/>
    <w:pPr>
      <w:keepNext/>
      <w:jc w:val="right"/>
      <w:outlineLvl w:val="0"/>
    </w:pPr>
    <w:rPr>
      <w:b/>
      <w:bCs/>
      <w:sz w:val="28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990E67"/>
    <w:pPr>
      <w:keepNext/>
      <w:jc w:val="center"/>
      <w:outlineLvl w:val="1"/>
    </w:pPr>
    <w:rPr>
      <w:b/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E67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90E67"/>
    <w:rPr>
      <w:rFonts w:ascii="Times New Roman" w:eastAsia="Times New Roman" w:hAnsi="Times New Roman" w:cs="Times New Roman"/>
      <w:b/>
      <w:bCs/>
      <w:sz w:val="32"/>
      <w:szCs w:val="20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990E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90E67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character" w:styleId="Numerstrony">
    <w:name w:val="page number"/>
    <w:basedOn w:val="Domylnaczcionkaakapitu"/>
    <w:semiHidden/>
    <w:rsid w:val="0099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Kielpińska</dc:creator>
  <cp:keywords/>
  <dc:description/>
  <cp:lastModifiedBy>Karina Kielpińska</cp:lastModifiedBy>
  <cp:revision>2</cp:revision>
  <cp:lastPrinted>2021-07-15T06:57:00Z</cp:lastPrinted>
  <dcterms:created xsi:type="dcterms:W3CDTF">2021-07-15T06:38:00Z</dcterms:created>
  <dcterms:modified xsi:type="dcterms:W3CDTF">2021-07-15T06:57:00Z</dcterms:modified>
</cp:coreProperties>
</file>